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1919" w14:textId="37F1FE4B" w:rsidR="00763841" w:rsidRPr="00977948" w:rsidRDefault="00734924" w:rsidP="0076059F">
      <w:pPr>
        <w:spacing w:before="120" w:after="120" w:line="360" w:lineRule="auto"/>
        <w:rPr>
          <w:rFonts w:ascii="Arial" w:hAnsi="Arial" w:cs="Arial"/>
          <w:b/>
        </w:rPr>
      </w:pPr>
      <w:r>
        <w:rPr>
          <w:rFonts w:ascii="Arial" w:hAnsi="Arial" w:cs="Arial"/>
          <w:b/>
          <w:bCs/>
          <w:noProof/>
          <w:sz w:val="28"/>
          <w:szCs w:val="28"/>
        </w:rPr>
        <w:drawing>
          <wp:inline distT="0" distB="0" distL="0" distR="0" wp14:anchorId="59B56660" wp14:editId="2CA54378">
            <wp:extent cx="1701800" cy="2228850"/>
            <wp:effectExtent l="0" t="0" r="0" b="0"/>
            <wp:docPr id="1218739558"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39558"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01800" cy="2228850"/>
                    </a:xfrm>
                    <a:prstGeom prst="rect">
                      <a:avLst/>
                    </a:prstGeom>
                  </pic:spPr>
                </pic:pic>
              </a:graphicData>
            </a:graphic>
          </wp:inline>
        </w:drawing>
      </w:r>
      <w:r w:rsidR="00AD463E">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3F00BDCA"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734924" w:rsidRPr="00734924">
        <w:rPr>
          <w:b w:val="0"/>
          <w:sz w:val="22"/>
          <w:szCs w:val="22"/>
        </w:rPr>
        <w:t>Snapdragons Pre School on 11/11/2024</w:t>
      </w:r>
      <w:r w:rsidRPr="00734924">
        <w:rPr>
          <w:b w:val="0"/>
          <w:sz w:val="22"/>
          <w:szCs w:val="22"/>
        </w:rPr>
        <w:t>.</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lastRenderedPageBreak/>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C46269" w:rsidP="00706CD4">
      <w:pPr>
        <w:spacing w:before="120" w:after="120" w:line="360" w:lineRule="auto"/>
      </w:pPr>
      <w:hyperlink r:id="rId12"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EB2D" w14:textId="77777777" w:rsidR="004F273B" w:rsidRDefault="004F273B" w:rsidP="00E07382">
      <w:r>
        <w:separator/>
      </w:r>
    </w:p>
  </w:endnote>
  <w:endnote w:type="continuationSeparator" w:id="0">
    <w:p w14:paraId="2217FA3B" w14:textId="77777777" w:rsidR="004F273B" w:rsidRDefault="004F273B" w:rsidP="00E07382">
      <w:r>
        <w:continuationSeparator/>
      </w:r>
    </w:p>
  </w:endnote>
  <w:endnote w:type="continuationNotice" w:id="1">
    <w:p w14:paraId="274AF59F" w14:textId="77777777" w:rsidR="004F273B" w:rsidRDefault="004F2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2D41703D"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w:t>
    </w:r>
    <w:r w:rsidR="00404F90">
      <w:rPr>
        <w:rFonts w:ascii="Arial" w:hAnsi="Arial" w:cs="Arial"/>
        <w:i/>
        <w:iCs/>
        <w:sz w:val="20"/>
        <w:szCs w:val="20"/>
      </w:rPr>
      <w:t>4</w:t>
    </w:r>
    <w:r w:rsidRPr="00BF3D29">
      <w:rPr>
        <w:rFonts w:ascii="Arial" w:hAnsi="Arial" w:cs="Arial"/>
        <w:sz w:val="20"/>
        <w:szCs w:val="20"/>
      </w:rPr>
      <w:t xml:space="preserve"> (Early Years Alliance 202</w:t>
    </w:r>
    <w:r w:rsidR="00404F90">
      <w:rPr>
        <w:rFonts w:ascii="Arial" w:hAnsi="Arial" w:cs="Arial"/>
        <w:sz w:val="20"/>
        <w:szCs w:val="20"/>
      </w:rPr>
      <w:t>4</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4D5C4" w14:textId="77777777" w:rsidR="004F273B" w:rsidRDefault="004F273B" w:rsidP="00E07382">
      <w:r>
        <w:separator/>
      </w:r>
    </w:p>
  </w:footnote>
  <w:footnote w:type="continuationSeparator" w:id="0">
    <w:p w14:paraId="40EF71F2" w14:textId="77777777" w:rsidR="004F273B" w:rsidRDefault="004F273B" w:rsidP="00E07382">
      <w:r>
        <w:continuationSeparator/>
      </w:r>
    </w:p>
  </w:footnote>
  <w:footnote w:type="continuationNotice" w:id="1">
    <w:p w14:paraId="56F2C8D6" w14:textId="77777777" w:rsidR="004F273B" w:rsidRDefault="004F2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B2D92"/>
    <w:rsid w:val="004C033C"/>
    <w:rsid w:val="004C1B31"/>
    <w:rsid w:val="004C2005"/>
    <w:rsid w:val="004D6861"/>
    <w:rsid w:val="004D6968"/>
    <w:rsid w:val="004D7318"/>
    <w:rsid w:val="004E0BB2"/>
    <w:rsid w:val="004E2567"/>
    <w:rsid w:val="004F273B"/>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34924"/>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059AA82F-8A90-4B88-BB1B-48157135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2024-11-11T13:41:00Z</cp:lastPrinted>
  <dcterms:created xsi:type="dcterms:W3CDTF">2024-11-11T13:42:00Z</dcterms:created>
  <dcterms:modified xsi:type="dcterms:W3CDTF">2024-11-11T13:42:00Z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